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rPr>
      </w:pPr>
      <w:r>
        <w:rPr>
          <w:rFonts w:hint="eastAsia" w:ascii="黑体" w:eastAsia="黑体"/>
          <w:sz w:val="44"/>
          <w:szCs w:val="44"/>
        </w:rPr>
        <w:t>房山区201</w:t>
      </w:r>
      <w:r>
        <w:rPr>
          <w:rFonts w:hint="eastAsia" w:ascii="黑体" w:eastAsia="黑体"/>
          <w:sz w:val="44"/>
          <w:szCs w:val="44"/>
          <w:lang w:val="en-US" w:eastAsia="zh-CN"/>
        </w:rPr>
        <w:t>8</w:t>
      </w:r>
      <w:r>
        <w:rPr>
          <w:rFonts w:hint="eastAsia" w:ascii="黑体" w:eastAsia="黑体"/>
          <w:sz w:val="44"/>
          <w:szCs w:val="44"/>
        </w:rPr>
        <w:t>年使用</w:t>
      </w:r>
      <w:bookmarkStart w:id="0" w:name="_GoBack"/>
      <w:bookmarkEnd w:id="0"/>
      <w:r>
        <w:rPr>
          <w:rFonts w:hint="eastAsia" w:ascii="黑体" w:eastAsia="黑体"/>
          <w:sz w:val="44"/>
          <w:szCs w:val="44"/>
        </w:rPr>
        <w:t>社会建设专项资金购买社会组织服务项目</w:t>
      </w:r>
    </w:p>
    <w:p>
      <w:pPr>
        <w:jc w:val="center"/>
        <w:rPr>
          <w:rFonts w:ascii="黑体" w:eastAsia="黑体"/>
          <w:sz w:val="44"/>
          <w:szCs w:val="44"/>
        </w:rPr>
      </w:pPr>
      <w:r>
        <w:rPr>
          <w:rFonts w:hint="eastAsia" w:ascii="黑体" w:eastAsia="黑体"/>
          <w:sz w:val="44"/>
          <w:szCs w:val="44"/>
        </w:rPr>
        <w:t>评估指标体系</w:t>
      </w:r>
    </w:p>
    <w:tbl>
      <w:tblPr>
        <w:tblStyle w:val="5"/>
        <w:tblW w:w="14747" w:type="dxa"/>
        <w:tblInd w:w="-176" w:type="dxa"/>
        <w:tblLayout w:type="fixed"/>
        <w:tblCellMar>
          <w:top w:w="0" w:type="dxa"/>
          <w:left w:w="108" w:type="dxa"/>
          <w:bottom w:w="0" w:type="dxa"/>
          <w:right w:w="108" w:type="dxa"/>
        </w:tblCellMar>
      </w:tblPr>
      <w:tblGrid>
        <w:gridCol w:w="1467"/>
        <w:gridCol w:w="1620"/>
        <w:gridCol w:w="9"/>
        <w:gridCol w:w="5591"/>
        <w:gridCol w:w="1300"/>
        <w:gridCol w:w="1280"/>
        <w:gridCol w:w="1320"/>
        <w:gridCol w:w="1080"/>
        <w:gridCol w:w="1080"/>
      </w:tblGrid>
      <w:tr>
        <w:tblPrEx>
          <w:tblLayout w:type="fixed"/>
          <w:tblCellMar>
            <w:top w:w="0" w:type="dxa"/>
            <w:left w:w="108" w:type="dxa"/>
            <w:bottom w:w="0" w:type="dxa"/>
            <w:right w:w="108" w:type="dxa"/>
          </w:tblCellMar>
        </w:tblPrEx>
        <w:trPr>
          <w:trHeight w:val="465" w:hRule="atLeast"/>
        </w:trPr>
        <w:tc>
          <w:tcPr>
            <w:tcW w:w="1467"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b/>
                <w:bCs/>
                <w:kern w:val="0"/>
                <w:sz w:val="28"/>
                <w:szCs w:val="28"/>
              </w:rPr>
            </w:pPr>
          </w:p>
        </w:tc>
        <w:tc>
          <w:tcPr>
            <w:tcW w:w="7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评估指标</w:t>
            </w:r>
          </w:p>
        </w:tc>
        <w:tc>
          <w:tcPr>
            <w:tcW w:w="39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指标等级</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自评分</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评估分</w:t>
            </w:r>
          </w:p>
        </w:tc>
      </w:tr>
      <w:tr>
        <w:tblPrEx>
          <w:tblLayout w:type="fixed"/>
          <w:tblCellMar>
            <w:top w:w="0" w:type="dxa"/>
            <w:left w:w="108" w:type="dxa"/>
            <w:bottom w:w="0" w:type="dxa"/>
            <w:right w:w="108" w:type="dxa"/>
          </w:tblCellMar>
        </w:tblPrEx>
        <w:trPr>
          <w:trHeight w:val="465" w:hRule="atLeast"/>
        </w:trPr>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一级指标</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8"/>
                <w:szCs w:val="28"/>
              </w:rPr>
            </w:pPr>
            <w:r>
              <w:rPr>
                <w:rFonts w:hint="eastAsia" w:ascii="宋体" w:hAnsi="宋体" w:cs="宋体"/>
                <w:b/>
                <w:bCs/>
                <w:kern w:val="0"/>
                <w:sz w:val="28"/>
                <w:szCs w:val="28"/>
              </w:rPr>
              <w:t>二级指标</w:t>
            </w:r>
          </w:p>
        </w:tc>
        <w:tc>
          <w:tcPr>
            <w:tcW w:w="5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8"/>
                <w:szCs w:val="28"/>
              </w:rPr>
            </w:pPr>
            <w:r>
              <w:rPr>
                <w:rFonts w:hint="eastAsia" w:ascii="宋体" w:hAnsi="宋体" w:cs="宋体"/>
                <w:b/>
                <w:bCs/>
                <w:kern w:val="0"/>
                <w:sz w:val="28"/>
                <w:szCs w:val="28"/>
              </w:rPr>
              <w:t>三级指标</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A</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B</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C</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8"/>
                <w:szCs w:val="2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8"/>
                <w:szCs w:val="28"/>
              </w:rPr>
            </w:pPr>
          </w:p>
        </w:tc>
      </w:tr>
      <w:tr>
        <w:tblPrEx>
          <w:tblLayout w:type="fixed"/>
          <w:tblCellMar>
            <w:top w:w="0" w:type="dxa"/>
            <w:left w:w="108" w:type="dxa"/>
            <w:bottom w:w="0" w:type="dxa"/>
            <w:right w:w="108" w:type="dxa"/>
          </w:tblCellMar>
        </w:tblPrEx>
        <w:trPr>
          <w:trHeight w:val="930" w:hRule="atLeast"/>
        </w:trPr>
        <w:tc>
          <w:tcPr>
            <w:tcW w:w="14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专业服务     （50分）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1、社工、志愿者（8分）</w:t>
            </w:r>
          </w:p>
        </w:tc>
        <w:tc>
          <w:tcPr>
            <w:tcW w:w="560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持证或社会工作专业毕业社工配备人数与项目资金比例（4分）</w:t>
            </w:r>
          </w:p>
        </w:tc>
        <w:tc>
          <w:tcPr>
            <w:tcW w:w="13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1：10万    （4分）</w:t>
            </w:r>
          </w:p>
        </w:tc>
        <w:tc>
          <w:tcPr>
            <w:tcW w:w="12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1：15万  （3分）</w:t>
            </w:r>
          </w:p>
        </w:tc>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1:20万  （2分）</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12"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1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志愿者人数（2分）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80人及以上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60人及以上 （1分）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30人及以上 （0.5分）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7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志愿者服务累计小时数（2分）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600小时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400小时   （1分）</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200小时   （0.5分）</w:t>
            </w:r>
          </w:p>
        </w:tc>
        <w:tc>
          <w:tcPr>
            <w:tcW w:w="108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18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2、专业督导           （5分）</w:t>
            </w: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督导师资格：具有三年以上指导社会工作专业实习经验的高校社会工作专业课程教师；或者具有三年以上社会工作实务经验的社会工作师（2分）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不符合  （0分）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2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专业督导次数（当面督导，每次1.5小时）（3分）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每周一次  （3分）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每2周一次（2分）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每月一次（1分）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9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3、个案工作    （15分）</w:t>
            </w: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建档（服务对象基本信息和需求评估信息）的服务对象人数占服务对象总人数的百分比（3分）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      （3分）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70%     （2分）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     （1分）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2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完整的个案服务流程（接案、评估、计划、协议、服务、结案、评估、追踪）（2分）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不完整   （1分）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1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完整的个案服务记录（2分）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不完整   （1分）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3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完成项目协议所规定的个案服务人数比例（4分）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     （4分）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       （3分)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      (2分）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4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完成项目协议所规定的个案服务人次比例（4分）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     （4分）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       （3分)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      (2分）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3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4、小组工作       （14分）</w:t>
            </w: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完整的小组工作流程（准备、计划、开展、结束、评估)（2分）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不完整   （1分）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4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完整的小组活动记录（2分）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不完整   （1分）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完成项目协议所规定的小组开设组数比例（4分）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     （4分）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       （3分)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      (2分）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6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平均每个小组活动次数（3分）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6次及以上      （3分）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5次      （2分）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4次     （1分）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7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小组服务总人数占服务对象总人数的比例（根据项目特点酌情考虑）（3分）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      （3分）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       （2分）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      （1分）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5、社区工作   （8分）</w:t>
            </w: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完整的社区工作流程（调查、分析、计划、执行、评估）        （2分）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不完整   （1分）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完整的社区工作记录（2分）</w:t>
            </w:r>
          </w:p>
        </w:tc>
        <w:tc>
          <w:tcPr>
            <w:tcW w:w="13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（2分）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不完整   （1分）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3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完成项目协议所规定的社区工作次数比例（4分）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     （4分）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       （3分)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      (2分）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20" w:hRule="atLeast"/>
        </w:trPr>
        <w:tc>
          <w:tcPr>
            <w:tcW w:w="14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服务成效     （30分）</w:t>
            </w:r>
          </w:p>
        </w:tc>
        <w:tc>
          <w:tcPr>
            <w:tcW w:w="1620" w:type="dxa"/>
            <w:vMerge w:val="restart"/>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1、服务对象受益情况</w:t>
            </w:r>
            <w:r>
              <w:rPr>
                <w:rFonts w:hint="eastAsia" w:ascii="宋体" w:hAnsi="宋体" w:cs="宋体"/>
                <w:kern w:val="0"/>
                <w:sz w:val="24"/>
              </w:rPr>
              <w:br w:type="textWrapping"/>
            </w:r>
            <w:r>
              <w:rPr>
                <w:rFonts w:hint="eastAsia" w:ascii="宋体" w:hAnsi="宋体" w:cs="宋体"/>
                <w:kern w:val="0"/>
                <w:sz w:val="24"/>
              </w:rPr>
              <w:t>（9分）</w:t>
            </w: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问题解决程度（3分）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完全解决  （3分）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部分解决 （1.5分）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没有解决（0分）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3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nil"/>
              <w:bottom w:val="nil"/>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能力提升程度（3分）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明显提升  （3分）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略有提升 （1.5分）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没有提升（0分）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9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nil"/>
              <w:bottom w:val="nil"/>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支持系统建立程度（3分）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支持较为稳定（3分）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新建支持但不稳定（1.5分）</w:t>
            </w:r>
          </w:p>
        </w:tc>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支持缺乏（0分）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0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2、服务对象及其相关人员满意度</w:t>
            </w:r>
            <w:r>
              <w:rPr>
                <w:rFonts w:hint="eastAsia" w:ascii="宋体" w:hAnsi="宋体" w:cs="宋体"/>
                <w:kern w:val="0"/>
                <w:sz w:val="24"/>
              </w:rPr>
              <w:br w:type="textWrapping"/>
            </w:r>
            <w:r>
              <w:rPr>
                <w:rFonts w:hint="eastAsia" w:ascii="宋体" w:hAnsi="宋体" w:cs="宋体"/>
                <w:kern w:val="0"/>
                <w:sz w:val="24"/>
              </w:rPr>
              <w:t>（9分）</w:t>
            </w: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对所接受的服务的满意度（3分）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很满意    （3分）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基本满意 （2分）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有点满意  （1分）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0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对所提供服务的社工的满意度（3分）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很满意    （3分）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基本满意 （2分）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有点满意  （1分）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7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对所提供服务的社工服务机构的满意度（3分）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很满意    （3分）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基本满意 （2分）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有点满意  （1分）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82"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3、服务相关方对服务的评价（6分）</w:t>
            </w: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服务利益相关方对服务的评价（4分）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很好      （4分）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      （2分）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不好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5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项目志愿者对服务的评价（2分）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很好     （2分）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     （1分）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不好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7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4、服务产生的社会效益（6分）</w:t>
            </w: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服务宣传和服务对象知晓率（3分）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     （3分）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       （2分)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70%      （1分）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11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资源整合情况（3分）</w:t>
            </w:r>
          </w:p>
        </w:tc>
        <w:tc>
          <w:tcPr>
            <w:tcW w:w="1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稳定支持与配合     （3分）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不稳定支持与配合 （1.5分）</w:t>
            </w:r>
          </w:p>
        </w:tc>
        <w:tc>
          <w:tcPr>
            <w:tcW w:w="1320" w:type="dxa"/>
            <w:tcBorders>
              <w:top w:val="nil"/>
              <w:left w:val="single" w:color="auto" w:sz="4" w:space="0"/>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无支持或配合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80" w:hRule="atLeast"/>
        </w:trPr>
        <w:tc>
          <w:tcPr>
            <w:tcW w:w="14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服务管理   （20分）</w:t>
            </w:r>
          </w:p>
        </w:tc>
        <w:tc>
          <w:tcPr>
            <w:tcW w:w="1620" w:type="dxa"/>
            <w:vMerge w:val="restart"/>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1、人力资源管理（11分）</w:t>
            </w: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人力资源管理制度建立情况(2分）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合法健全 （2分）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不健全  （1分）</w:t>
            </w:r>
          </w:p>
        </w:tc>
        <w:tc>
          <w:tcPr>
            <w:tcW w:w="132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没有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1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nil"/>
              <w:bottom w:val="nil"/>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社工薪酬管理（考勤、工资发放、社保缴交等）    （3分）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符合相关法规（3分）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320"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不符合相关法规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4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nil"/>
              <w:bottom w:val="nil"/>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社工机构外继续教育培训（3分）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累计20小时/人（3分）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累计15小时/人（2分）</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累计10小时/人（1分）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2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nil"/>
              <w:left w:val="nil"/>
              <w:bottom w:val="nil"/>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志愿者培训与服务登记（3分）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（3分）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较完整   （2分）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82"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2、财务管理  （6分）</w:t>
            </w: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财务管理制度的建立情况（2分）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合法健全 （2分）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不健全   （1分）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没有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40"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56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服务项目资金管理与使用情况 （4分）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合理使用（4分）</w:t>
            </w:r>
          </w:p>
        </w:tc>
        <w:tc>
          <w:tcPr>
            <w:tcW w:w="128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存在较小问题（2分）</w:t>
            </w:r>
          </w:p>
        </w:tc>
        <w:tc>
          <w:tcPr>
            <w:tcW w:w="1320"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存在较大问题（0分）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15"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2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3、资料管理（3分）</w:t>
            </w:r>
          </w:p>
        </w:tc>
        <w:tc>
          <w:tcPr>
            <w:tcW w:w="5600" w:type="dxa"/>
            <w:gridSpan w:val="2"/>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数据库的建立与维护（包括服务对象需求评估、个案管理等）（3分）</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完整      （3分）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较完整   （2分）</w:t>
            </w:r>
          </w:p>
        </w:tc>
        <w:tc>
          <w:tcPr>
            <w:tcW w:w="132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无       （0分）</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0" w:hRule="atLeast"/>
        </w:trPr>
        <w:tc>
          <w:tcPr>
            <w:tcW w:w="1258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合计分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sectPr>
      <w:pgSz w:w="16838" w:h="11906" w:orient="landscape"/>
      <w:pgMar w:top="1588"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0E30"/>
    <w:rsid w:val="00675A19"/>
    <w:rsid w:val="006A4933"/>
    <w:rsid w:val="008C0E30"/>
    <w:rsid w:val="009E448B"/>
    <w:rsid w:val="00A36EC4"/>
    <w:rsid w:val="00C63FF4"/>
    <w:rsid w:val="00CF2DAB"/>
    <w:rsid w:val="00D415BE"/>
    <w:rsid w:val="00DC1A63"/>
    <w:rsid w:val="00E53936"/>
    <w:rsid w:val="00E823A7"/>
    <w:rsid w:val="00EA7510"/>
    <w:rsid w:val="00EB08F1"/>
    <w:rsid w:val="020E7337"/>
    <w:rsid w:val="4A3F7BA3"/>
    <w:rsid w:val="4F43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391</Words>
  <Characters>2229</Characters>
  <Lines>18</Lines>
  <Paragraphs>5</Paragraphs>
  <ScaleCrop>false</ScaleCrop>
  <LinksUpToDate>false</LinksUpToDate>
  <CharactersWithSpaces>2615</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2017-01-04T23:17:00Z</dcterms:created>
  <dc:creator>yanxiaochai</dc:creator>
  <cp:lastModifiedBy>Administrator</cp:lastModifiedBy>
  <dcterms:modified xsi:type="dcterms:W3CDTF">2017-12-25T05:43:59Z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