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372DE">
      <w:pPr>
        <w:widowControl w:val="0"/>
        <w:suppressAutoHyphens/>
        <w:autoSpaceDE w:val="0"/>
        <w:autoSpaceDN w:val="0"/>
        <w:bidi w:val="0"/>
        <w:spacing w:before="0" w:after="0" w:line="240" w:lineRule="auto"/>
        <w:ind w:left="125" w:right="0"/>
        <w:jc w:val="left"/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zh-CN" w:eastAsia="zh-CN" w:bidi="zh-CN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zh-CN"/>
        </w:rPr>
        <w:t>2</w:t>
      </w:r>
    </w:p>
    <w:p w14:paraId="10E255D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 w14:paraId="4E12D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使用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社会建设资金市对区转移支付</w:t>
      </w:r>
    </w:p>
    <w:p w14:paraId="04824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购买社会组织服务项目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</w:rPr>
        <w:t>预算测算参考标准</w:t>
      </w:r>
    </w:p>
    <w:p w14:paraId="7C608E1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eastAsia="仿宋_GB2312" w:cs="仿宋_GB2312"/>
          <w:sz w:val="31"/>
          <w:szCs w:val="31"/>
        </w:rPr>
      </w:pPr>
    </w:p>
    <w:p w14:paraId="1CAD110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suppressAutoHyphens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Calibri" w:eastAsia="仿宋_GB2312" w:cs="黑体"/>
          <w:color w:val="auto"/>
          <w:sz w:val="32"/>
          <w:lang w:val="en-US" w:eastAsia="zh-CN"/>
        </w:rPr>
      </w:pPr>
      <w:r>
        <w:rPr>
          <w:rFonts w:hint="default" w:ascii="仿宋_GB2312" w:hAnsi="Calibri" w:eastAsia="仿宋_GB2312" w:cs="黑体"/>
          <w:color w:val="auto"/>
          <w:sz w:val="32"/>
          <w:lang w:val="en-US" w:eastAsia="zh-CN"/>
        </w:rPr>
        <w:t>购买社会</w:t>
      </w:r>
      <w:r>
        <w:rPr>
          <w:rFonts w:hint="eastAsia" w:ascii="仿宋_GB2312" w:hAnsi="Calibri" w:eastAsia="仿宋_GB2312" w:cs="黑体"/>
          <w:color w:val="auto"/>
          <w:sz w:val="32"/>
          <w:lang w:val="en-US" w:eastAsia="zh-CN"/>
        </w:rPr>
        <w:t>组织</w:t>
      </w:r>
      <w:r>
        <w:rPr>
          <w:rFonts w:hint="default" w:ascii="仿宋_GB2312" w:hAnsi="Calibri" w:eastAsia="仿宋_GB2312" w:cs="黑体"/>
          <w:color w:val="auto"/>
          <w:sz w:val="32"/>
          <w:lang w:val="en-US" w:eastAsia="zh-CN"/>
        </w:rPr>
        <w:t>服务项目资金测算内容一般包括业务活动成本、管理费用、其他费用等三类费用。</w:t>
      </w:r>
    </w:p>
    <w:p w14:paraId="647E169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20" w:firstLineChars="200"/>
        <w:jc w:val="both"/>
        <w:textAlignment w:val="auto"/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lang w:eastAsia="zh-CN"/>
        </w:rPr>
        <w:t>一、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</w:rPr>
        <w:t>业务活动成本</w:t>
      </w:r>
    </w:p>
    <w:p w14:paraId="6536C6E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suppressAutoHyphens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Calibri" w:eastAsia="仿宋_GB2312" w:cs="黑体"/>
          <w:color w:val="auto"/>
          <w:sz w:val="32"/>
          <w:lang w:val="en-US" w:eastAsia="zh-CN"/>
        </w:rPr>
      </w:pPr>
      <w:r>
        <w:rPr>
          <w:rFonts w:hint="default" w:ascii="仿宋_GB2312" w:hAnsi="Calibri" w:eastAsia="仿宋_GB2312" w:cs="黑体"/>
          <w:color w:val="auto"/>
          <w:sz w:val="32"/>
          <w:lang w:val="en-US" w:eastAsia="zh-CN"/>
        </w:rPr>
        <w:t>业务活动成本是指为开展与购买社会</w:t>
      </w:r>
      <w:r>
        <w:rPr>
          <w:rFonts w:hint="eastAsia" w:ascii="仿宋_GB2312" w:hAnsi="Calibri" w:eastAsia="仿宋_GB2312" w:cs="黑体"/>
          <w:color w:val="auto"/>
          <w:sz w:val="32"/>
          <w:lang w:val="en-US" w:eastAsia="zh-CN"/>
        </w:rPr>
        <w:t>组织</w:t>
      </w:r>
      <w:r>
        <w:rPr>
          <w:rFonts w:hint="default" w:ascii="仿宋_GB2312" w:hAnsi="Calibri" w:eastAsia="仿宋_GB2312" w:cs="黑体"/>
          <w:color w:val="auto"/>
          <w:sz w:val="32"/>
          <w:lang w:val="en-US" w:eastAsia="zh-CN"/>
        </w:rPr>
        <w:t>服务项目直接相关的服务所发生的费用。原则上应按照与项目实施相关的具体工作逐项测算项目资金。</w:t>
      </w:r>
    </w:p>
    <w:p w14:paraId="3B917A6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suppressAutoHyphens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lang w:val="en-US" w:eastAsia="zh-CN"/>
        </w:rPr>
        <w:t>（一）人力成本费用</w:t>
      </w:r>
    </w:p>
    <w:p w14:paraId="289890E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suppressAutoHyphens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Calibri" w:eastAsia="仿宋_GB2312" w:cs="黑体"/>
          <w:color w:val="auto"/>
          <w:sz w:val="32"/>
          <w:lang w:val="en-US" w:eastAsia="zh-CN"/>
        </w:rPr>
      </w:pPr>
      <w:r>
        <w:rPr>
          <w:rFonts w:hint="default" w:ascii="仿宋_GB2312" w:hAnsi="Calibri" w:eastAsia="仿宋_GB2312" w:cs="黑体"/>
          <w:color w:val="auto"/>
          <w:sz w:val="32"/>
          <w:lang w:val="en-US" w:eastAsia="zh-CN"/>
        </w:rPr>
        <w:t>用于项目执行中发生的支付给</w:t>
      </w:r>
      <w:r>
        <w:rPr>
          <w:rFonts w:hint="eastAsia" w:ascii="仿宋_GB2312" w:hAnsi="Calibri" w:eastAsia="仿宋_GB2312" w:cs="黑体"/>
          <w:color w:val="auto"/>
          <w:sz w:val="32"/>
          <w:lang w:val="en-US" w:eastAsia="zh-CN"/>
        </w:rPr>
        <w:t>承接主体</w:t>
      </w:r>
      <w:r>
        <w:rPr>
          <w:rFonts w:hint="default" w:ascii="仿宋_GB2312" w:hAnsi="Calibri" w:eastAsia="仿宋_GB2312" w:cs="黑体"/>
          <w:color w:val="auto"/>
          <w:sz w:val="32"/>
          <w:lang w:val="en-US" w:eastAsia="zh-CN"/>
        </w:rPr>
        <w:t>投入项目的全职人员的费用。测算项目资金时应列明投入人员数量、投入工作量、人力成本测算标准及专业技术职称等。其中，投入工作量应按天或小时来计算。购买主体可根据人员学历层次、专业资质、工作经验等因素确定此项费用标准，可参照上一年度本市全口径城镇单位就业人员平均工资的80%</w:t>
      </w:r>
      <w:r>
        <w:rPr>
          <w:rFonts w:hint="eastAsia" w:ascii="仿宋_GB2312" w:hAnsi="Calibri" w:eastAsia="仿宋_GB2312" w:cs="黑体"/>
          <w:color w:val="auto"/>
          <w:sz w:val="32"/>
          <w:lang w:val="en-US" w:eastAsia="zh-CN"/>
        </w:rPr>
        <w:t>-</w:t>
      </w:r>
      <w:r>
        <w:rPr>
          <w:rFonts w:hint="default" w:ascii="仿宋_GB2312" w:hAnsi="Calibri" w:eastAsia="仿宋_GB2312" w:cs="黑体"/>
          <w:color w:val="auto"/>
          <w:sz w:val="32"/>
          <w:lang w:val="en-US" w:eastAsia="zh-CN"/>
        </w:rPr>
        <w:t>120%标准进行确定。</w:t>
      </w:r>
    </w:p>
    <w:p w14:paraId="3DC892A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suppressAutoHyphens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lang w:val="en-US" w:eastAsia="zh-CN"/>
        </w:rPr>
        <w:t>（二）</w:t>
      </w:r>
      <w:r>
        <w:rPr>
          <w:rFonts w:hint="default" w:ascii="楷体_GB2312" w:hAnsi="楷体_GB2312" w:eastAsia="楷体_GB2312" w:cs="楷体_GB2312"/>
          <w:color w:val="auto"/>
          <w:sz w:val="32"/>
          <w:lang w:val="en-US" w:eastAsia="zh-CN"/>
        </w:rPr>
        <w:t>服务活动及培训（会议）相关费用</w:t>
      </w:r>
    </w:p>
    <w:p w14:paraId="3DDFE37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suppressAutoHyphens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Calibri" w:eastAsia="仿宋_GB2312" w:cs="黑体"/>
          <w:color w:val="auto"/>
          <w:sz w:val="32"/>
          <w:lang w:val="en-US" w:eastAsia="zh-CN"/>
        </w:rPr>
      </w:pPr>
      <w:r>
        <w:rPr>
          <w:rFonts w:hint="default" w:ascii="仿宋_GB2312" w:hAnsi="Calibri" w:eastAsia="仿宋_GB2312" w:cs="黑体"/>
          <w:color w:val="auto"/>
          <w:sz w:val="32"/>
          <w:lang w:val="en-US" w:eastAsia="zh-CN"/>
        </w:rPr>
        <w:t>用于直接对受益对象开展相应活动或培训（会议）所必须发生的各项费用，包括物资费、场地租赁费、交通费等。测算项目资金时应列明具体用途、规格、单价及数量等。培训（会议）费用应参照北京市党政机关事业单位培训、会议费相关标准执行。</w:t>
      </w:r>
    </w:p>
    <w:p w14:paraId="5AFD837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suppressAutoHyphens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lang w:val="en-US" w:eastAsia="zh-CN"/>
        </w:rPr>
        <w:t>（三）</w:t>
      </w:r>
      <w:r>
        <w:rPr>
          <w:rFonts w:hint="default" w:ascii="楷体_GB2312" w:hAnsi="楷体_GB2312" w:eastAsia="楷体_GB2312" w:cs="楷体_GB2312"/>
          <w:color w:val="auto"/>
          <w:sz w:val="32"/>
          <w:lang w:val="en-US" w:eastAsia="zh-CN"/>
        </w:rPr>
        <w:t>劳务费</w:t>
      </w:r>
    </w:p>
    <w:p w14:paraId="36E7A81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suppressAutoHyphens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仿宋_GB2312" w:hAnsi="Calibri" w:eastAsia="仿宋_GB2312" w:cs="黑体"/>
          <w:color w:val="auto"/>
          <w:sz w:val="32"/>
          <w:lang w:val="en-US" w:eastAsia="zh-CN"/>
        </w:rPr>
      </w:pPr>
      <w:r>
        <w:rPr>
          <w:rFonts w:hint="default" w:ascii="仿宋_GB2312" w:hAnsi="Calibri" w:eastAsia="仿宋_GB2312" w:cs="黑体"/>
          <w:color w:val="auto"/>
          <w:sz w:val="32"/>
          <w:lang w:val="en-US" w:eastAsia="zh-CN"/>
        </w:rPr>
        <w:t>用于项目执行中发生的支付给在</w:t>
      </w:r>
      <w:r>
        <w:rPr>
          <w:rFonts w:hint="eastAsia" w:ascii="仿宋_GB2312" w:hAnsi="Calibri" w:eastAsia="仿宋_GB2312" w:cs="黑体"/>
          <w:color w:val="auto"/>
          <w:sz w:val="32"/>
          <w:lang w:val="en-US" w:eastAsia="zh-CN"/>
        </w:rPr>
        <w:t>承接主体</w:t>
      </w:r>
      <w:r>
        <w:rPr>
          <w:rFonts w:hint="default" w:ascii="仿宋_GB2312" w:hAnsi="Calibri" w:eastAsia="仿宋_GB2312" w:cs="黑体"/>
          <w:color w:val="auto"/>
          <w:sz w:val="32"/>
          <w:lang w:val="en-US" w:eastAsia="zh-CN"/>
        </w:rPr>
        <w:t>无工资性收入的临时聘用人员的劳务性费用，包括专家费、临时聘用人员劳务费和志愿者补贴等，不得向</w:t>
      </w:r>
      <w:r>
        <w:rPr>
          <w:rFonts w:hint="eastAsia" w:ascii="仿宋_GB2312" w:hAnsi="Calibri" w:eastAsia="仿宋_GB2312" w:cs="黑体"/>
          <w:color w:val="auto"/>
          <w:sz w:val="32"/>
          <w:lang w:val="en-US" w:eastAsia="zh-CN"/>
        </w:rPr>
        <w:t>承接主体在职</w:t>
      </w:r>
      <w:r>
        <w:rPr>
          <w:rFonts w:hint="default" w:ascii="仿宋_GB2312" w:hAnsi="Calibri" w:eastAsia="仿宋_GB2312" w:cs="黑体"/>
          <w:color w:val="auto"/>
          <w:sz w:val="32"/>
          <w:lang w:val="en-US" w:eastAsia="zh-CN"/>
        </w:rPr>
        <w:t>工作人员及</w:t>
      </w:r>
      <w:r>
        <w:rPr>
          <w:rFonts w:hint="eastAsia" w:ascii="仿宋_GB2312" w:hAnsi="Calibri" w:eastAsia="仿宋_GB2312" w:cs="黑体"/>
          <w:color w:val="auto"/>
          <w:sz w:val="32"/>
          <w:lang w:val="en-US" w:eastAsia="zh-CN"/>
        </w:rPr>
        <w:t>政府</w:t>
      </w:r>
      <w:r>
        <w:rPr>
          <w:rFonts w:hint="default" w:ascii="仿宋_GB2312" w:hAnsi="Calibri" w:eastAsia="仿宋_GB2312" w:cs="黑体"/>
          <w:color w:val="auto"/>
          <w:sz w:val="32"/>
          <w:lang w:val="en-US" w:eastAsia="zh-CN"/>
        </w:rPr>
        <w:t>部门工作人员支付劳务费。受益对象不得领取劳务费。</w:t>
      </w:r>
    </w:p>
    <w:p w14:paraId="391CE18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suppressAutoHyphens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Calibri" w:eastAsia="仿宋_GB2312" w:cs="黑体"/>
          <w:color w:val="auto"/>
          <w:sz w:val="32"/>
          <w:lang w:val="en-US" w:eastAsia="zh-CN"/>
        </w:rPr>
      </w:pPr>
      <w:r>
        <w:rPr>
          <w:rFonts w:hint="default" w:ascii="仿宋_GB2312" w:hAnsi="Calibri" w:eastAsia="仿宋_GB2312" w:cs="黑体"/>
          <w:color w:val="auto"/>
          <w:sz w:val="32"/>
          <w:lang w:val="en-US" w:eastAsia="zh-CN"/>
        </w:rPr>
        <w:t>测算项目资金时应列明人员数量、服务内容、投入工作量及劳务费标准，涉及专家费的还应列明专业技术职称。其中，投入工作量应按天或小时（课时）来计算。原则上，专家费应参照北京市党政机关事业单位相关标准执行；临时聘用人员劳务费标准每人每天不超过200元；志愿者补贴标准每人每天不超过100元，发放志愿者补贴的不得再以报销形式列支餐费和交通费等支出。</w:t>
      </w:r>
    </w:p>
    <w:p w14:paraId="4A09801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20" w:firstLineChars="200"/>
        <w:jc w:val="both"/>
        <w:textAlignment w:val="auto"/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lang w:eastAsia="zh-CN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lang w:eastAsia="zh-CN"/>
        </w:rPr>
        <w:t>二、管理费用</w:t>
      </w:r>
    </w:p>
    <w:p w14:paraId="219C67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suppressAutoHyphens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Calibri" w:eastAsia="仿宋_GB2312" w:cs="黑体"/>
          <w:color w:val="auto"/>
          <w:sz w:val="32"/>
          <w:lang w:val="en-US" w:eastAsia="zh-CN"/>
        </w:rPr>
      </w:pPr>
      <w:r>
        <w:rPr>
          <w:rFonts w:hint="default" w:ascii="仿宋_GB2312" w:hAnsi="Calibri" w:eastAsia="仿宋_GB2312" w:cs="黑体"/>
          <w:color w:val="auto"/>
          <w:sz w:val="32"/>
          <w:lang w:val="en-US" w:eastAsia="zh-CN"/>
        </w:rPr>
        <w:t>管理费用是指承接主体为组织和管理其业务活动所发生的各项费用。购买主体</w:t>
      </w:r>
      <w:r>
        <w:rPr>
          <w:rFonts w:hint="eastAsia" w:ascii="仿宋_GB2312" w:hAnsi="Calibri" w:eastAsia="仿宋_GB2312" w:cs="黑体"/>
          <w:color w:val="auto"/>
          <w:sz w:val="32"/>
          <w:lang w:val="en-US" w:eastAsia="zh-CN"/>
        </w:rPr>
        <w:t>可</w:t>
      </w:r>
      <w:r>
        <w:rPr>
          <w:rFonts w:hint="default" w:ascii="仿宋_GB2312" w:hAnsi="Calibri" w:eastAsia="仿宋_GB2312" w:cs="黑体"/>
          <w:color w:val="auto"/>
          <w:sz w:val="32"/>
          <w:lang w:val="en-US" w:eastAsia="zh-CN"/>
        </w:rPr>
        <w:t>结合项目实际情况合理安排一定比例</w:t>
      </w:r>
      <w:r>
        <w:rPr>
          <w:rFonts w:hint="eastAsia" w:ascii="仿宋_GB2312" w:hAnsi="Calibri" w:eastAsia="仿宋_GB2312" w:cs="黑体"/>
          <w:color w:val="auto"/>
          <w:sz w:val="32"/>
          <w:lang w:val="en-US" w:eastAsia="zh-CN"/>
        </w:rPr>
        <w:t>（不超过项目经费的8%）</w:t>
      </w:r>
      <w:r>
        <w:rPr>
          <w:rFonts w:hint="default" w:ascii="仿宋_GB2312" w:hAnsi="Calibri" w:eastAsia="仿宋_GB2312" w:cs="黑体"/>
          <w:color w:val="auto"/>
          <w:sz w:val="32"/>
          <w:lang w:val="en-US" w:eastAsia="zh-CN"/>
        </w:rPr>
        <w:t>的管理费用。管理费用不得与其他项目支出重复列支相同内容。</w:t>
      </w:r>
    </w:p>
    <w:p w14:paraId="37A5961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20" w:firstLineChars="200"/>
        <w:jc w:val="both"/>
        <w:textAlignment w:val="auto"/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lang w:eastAsia="zh-CN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lang w:eastAsia="zh-CN"/>
        </w:rPr>
        <w:t>三、其他成本</w:t>
      </w:r>
    </w:p>
    <w:p w14:paraId="4EFF3DA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suppressAutoHyphens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仿宋_GB2312" w:hAnsi="Calibri" w:eastAsia="仿宋_GB2312" w:cs="黑体"/>
          <w:color w:val="auto"/>
          <w:sz w:val="32"/>
          <w:lang w:val="en-US" w:eastAsia="zh-CN"/>
        </w:rPr>
      </w:pPr>
      <w:r>
        <w:rPr>
          <w:rFonts w:hint="default" w:ascii="仿宋_GB2312" w:hAnsi="Calibri" w:eastAsia="仿宋_GB2312" w:cs="黑体"/>
          <w:color w:val="auto"/>
          <w:sz w:val="32"/>
          <w:lang w:val="en-US" w:eastAsia="zh-CN"/>
        </w:rPr>
        <w:t>其他成本是指应在购买</w:t>
      </w:r>
      <w:r>
        <w:rPr>
          <w:rFonts w:hint="eastAsia" w:ascii="仿宋_GB2312" w:hAnsi="Calibri" w:eastAsia="仿宋_GB2312" w:cs="黑体"/>
          <w:color w:val="auto"/>
          <w:sz w:val="32"/>
          <w:lang w:val="en-US" w:eastAsia="zh-CN"/>
        </w:rPr>
        <w:t>社会组织</w:t>
      </w:r>
      <w:r>
        <w:rPr>
          <w:rFonts w:hint="default" w:ascii="仿宋_GB2312" w:hAnsi="Calibri" w:eastAsia="仿宋_GB2312" w:cs="黑体"/>
          <w:color w:val="auto"/>
          <w:sz w:val="32"/>
          <w:lang w:val="en-US" w:eastAsia="zh-CN"/>
        </w:rPr>
        <w:t>服务项目总预算中支付，但又无法归属到上述业务活动成本或管理费用中的费用，包括税费等。其中，税费应按照承接单位所属的纳税人类别据实核算。</w:t>
      </w:r>
    </w:p>
    <w:p w14:paraId="4B701EF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43887"/>
    <w:rsid w:val="2DF43887"/>
    <w:rsid w:val="7FED01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22"/>
    <w:basedOn w:val="1"/>
    <w:qFormat/>
    <w:uiPriority w:val="0"/>
    <w:pPr>
      <w:spacing w:line="640" w:lineRule="exact"/>
      <w:ind w:left="1350" w:leftChars="450" w:firstLine="640" w:firstLineChars="200"/>
    </w:pPr>
    <w:rPr>
      <w:sz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897</Words>
  <Characters>909</Characters>
  <Lines>0</Lines>
  <Paragraphs>0</Paragraphs>
  <TotalTime>0</TotalTime>
  <ScaleCrop>false</ScaleCrop>
  <LinksUpToDate>false</LinksUpToDate>
  <CharactersWithSpaces>909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2025-06-20T10:18:00Z</dcterms:created>
  <dc:creator>李_</dc:creator>
  <cp:lastModifiedBy>李_</cp:lastModifiedBy>
  <dcterms:modified xsi:type="dcterms:W3CDTF">2025-06-20T10:19:55Z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4B90D93A8A8F4E9F882927640C6ACB49_13</vt:lpwstr>
  </property>
  <property fmtid="{D5CDD505-2E9C-101B-9397-08002B2CF9AE}" pid="4" name="KSOTemplateDocerSaveRecord">
    <vt:lpwstr>eyJoZGlkIjoiMzZkNDllZGY2MTBkMGY5YjBkNzIyZDAxZWJhNmEyMWEiLCJ1c2VySWQiOiIyMzY5MjQ3NjIifQ==</vt:lpwstr>
  </property>
</Properties>
</file>